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CB" w:rsidRDefault="00DA646C" w:rsidP="00F1004F">
      <w:pPr>
        <w:pStyle w:val="Heading2"/>
      </w:pPr>
      <w:r>
        <w:rPr>
          <w:color w:val="1F4E79" w:themeColor="accent1" w:themeShade="80"/>
        </w:rPr>
        <w:t>Policy</w:t>
      </w:r>
      <w:r w:rsidR="00583DCB">
        <w:br/>
      </w:r>
    </w:p>
    <w:p w:rsidR="00A7117F" w:rsidRDefault="00A7117F" w:rsidP="00A7117F">
      <w:r>
        <w:t>SACL is committed to the health &amp; safety of our employees and Persons Supported.</w:t>
      </w:r>
    </w:p>
    <w:p w:rsidR="00A7117F" w:rsidRDefault="00DA646C" w:rsidP="00A7117F">
      <w:r>
        <w:t xml:space="preserve">If an employee(s) have reasonable cause to </w:t>
      </w:r>
      <w:r w:rsidR="00A7117F">
        <w:t>believe</w:t>
      </w:r>
      <w:r>
        <w:t xml:space="preserve"> that performing a job or task puts th</w:t>
      </w:r>
      <w:r w:rsidR="00A7117F">
        <w:t>emselves or someone else at risk, the employee(s) must immediately report any perceived unsafe condition/task to their Services Manager for assessment and corrective measures.</w:t>
      </w:r>
    </w:p>
    <w:p w:rsidR="00A13C1B" w:rsidRDefault="00A7117F" w:rsidP="00A7117F">
      <w:r>
        <w:t xml:space="preserve">Services Managers will </w:t>
      </w:r>
      <w:r w:rsidR="007E4817">
        <w:t xml:space="preserve">immediately </w:t>
      </w:r>
      <w:r w:rsidR="00A13C1B">
        <w:t xml:space="preserve">assess the situation and implement corrective actions and measures to alleviate the unsafe condition/task where required, or inform the employee that in their opinion, the report is not valid. </w:t>
      </w:r>
    </w:p>
    <w:p w:rsidR="00DA646C" w:rsidRDefault="00A13C1B" w:rsidP="00583DCB">
      <w:r>
        <w:t>Should the employee(s), still feel the condition/task to be unsafe, an investigation will take place, conducted in the presence of t</w:t>
      </w:r>
      <w:r w:rsidR="007E4817">
        <w:t>he employee who made the report. The investigation will be completed</w:t>
      </w:r>
      <w:r>
        <w:t xml:space="preserve"> by an employer representative a</w:t>
      </w:r>
      <w:r w:rsidR="00F25145">
        <w:t>nd a worker representative, to determine any additional corrective actions to put in place to alleviate the unsafe condition/task, or to inform the reporting employee that in their opinion, the report is not valid.</w:t>
      </w:r>
    </w:p>
    <w:p w:rsidR="00F25145" w:rsidRDefault="00F25145" w:rsidP="00583DCB">
      <w:r>
        <w:t>If the reporting employee still feels that the condition/task is unsafe, and continues refusal to work, then the employer and worker mus</w:t>
      </w:r>
      <w:r w:rsidR="00900707">
        <w:t>t immediately notify a WorkSafe</w:t>
      </w:r>
      <w:r>
        <w:t>BC o</w:t>
      </w:r>
      <w:r w:rsidR="00900707">
        <w:t>fficer. The WorkSafe</w:t>
      </w:r>
      <w:r>
        <w:t xml:space="preserve">BC </w:t>
      </w:r>
      <w:r w:rsidR="007E4817">
        <w:t xml:space="preserve">officer </w:t>
      </w:r>
      <w:r>
        <w:t>will investigate the matter without delay, and issue any orders deemed necessary to resolve the situation.</w:t>
      </w:r>
    </w:p>
    <w:p w:rsidR="00F25145" w:rsidRDefault="00F25145" w:rsidP="00583DCB">
      <w:r>
        <w:t>A reporting employee(s) will not be subject to any discriminatory action by SACL management or staff in relation to reporting unsafe working conditions. Temporary assignment to alternative work at no loss in pay to the worker until the matter is resolved is not considered discriminatory action.</w:t>
      </w:r>
    </w:p>
    <w:p w:rsidR="007E4817" w:rsidRDefault="007E4817" w:rsidP="00583DCB">
      <w:r w:rsidRPr="007E4817">
        <w:rPr>
          <w:b/>
          <w:u w:val="single"/>
        </w:rPr>
        <w:t>Procedure</w:t>
      </w:r>
      <w:r w:rsidR="00F25145" w:rsidRPr="007E4817">
        <w:rPr>
          <w:b/>
          <w:u w:val="single"/>
        </w:rPr>
        <w:t>:</w:t>
      </w:r>
      <w:r w:rsidR="00F25145">
        <w:t xml:space="preserve"> </w:t>
      </w:r>
    </w:p>
    <w:p w:rsidR="00F25145" w:rsidRPr="00900707" w:rsidRDefault="00F25145" w:rsidP="00583DCB">
      <w:pPr>
        <w:rPr>
          <w:b/>
          <w:i/>
          <w:sz w:val="20"/>
          <w:szCs w:val="20"/>
        </w:rPr>
      </w:pPr>
      <w:r w:rsidRPr="00900707">
        <w:rPr>
          <w:b/>
          <w:i/>
          <w:sz w:val="20"/>
          <w:szCs w:val="20"/>
        </w:rPr>
        <w:t>HS-Refusing</w:t>
      </w:r>
      <w:r w:rsidR="004F501F" w:rsidRPr="00900707">
        <w:rPr>
          <w:b/>
          <w:i/>
          <w:sz w:val="20"/>
          <w:szCs w:val="20"/>
        </w:rPr>
        <w:t xml:space="preserve"> </w:t>
      </w:r>
      <w:r w:rsidRPr="00900707">
        <w:rPr>
          <w:b/>
          <w:i/>
          <w:sz w:val="20"/>
          <w:szCs w:val="20"/>
        </w:rPr>
        <w:t>Unsafe</w:t>
      </w:r>
      <w:r w:rsidR="004F501F" w:rsidRPr="00900707">
        <w:rPr>
          <w:b/>
          <w:i/>
          <w:sz w:val="20"/>
          <w:szCs w:val="20"/>
        </w:rPr>
        <w:t xml:space="preserve"> </w:t>
      </w:r>
      <w:r w:rsidRPr="00900707">
        <w:rPr>
          <w:b/>
          <w:i/>
          <w:sz w:val="20"/>
          <w:szCs w:val="20"/>
        </w:rPr>
        <w:t>Work – Reporting &amp; Investigating Procedure</w:t>
      </w:r>
      <w:r w:rsidR="007E4817" w:rsidRPr="00900707">
        <w:rPr>
          <w:b/>
          <w:i/>
          <w:sz w:val="20"/>
          <w:szCs w:val="20"/>
        </w:rPr>
        <w:t xml:space="preserve"> </w:t>
      </w:r>
    </w:p>
    <w:p w:rsidR="007E4817" w:rsidRPr="007E4817" w:rsidRDefault="00F25145" w:rsidP="00583DCB">
      <w:pPr>
        <w:rPr>
          <w:b/>
          <w:u w:val="single"/>
        </w:rPr>
      </w:pPr>
      <w:r w:rsidRPr="007E4817">
        <w:rPr>
          <w:b/>
          <w:u w:val="single"/>
        </w:rPr>
        <w:t xml:space="preserve">Other Related </w:t>
      </w:r>
      <w:r w:rsidR="007E4817" w:rsidRPr="007E4817">
        <w:rPr>
          <w:b/>
          <w:u w:val="single"/>
        </w:rPr>
        <w:t>Documentation:</w:t>
      </w:r>
      <w:bookmarkStart w:id="0" w:name="_GoBack"/>
      <w:bookmarkEnd w:id="0"/>
    </w:p>
    <w:p w:rsidR="007E4817" w:rsidRPr="00900707" w:rsidRDefault="007E4817" w:rsidP="007E4817">
      <w:pPr>
        <w:spacing w:after="0"/>
        <w:rPr>
          <w:b/>
          <w:i/>
          <w:sz w:val="20"/>
          <w:szCs w:val="20"/>
        </w:rPr>
      </w:pPr>
      <w:r w:rsidRPr="00900707">
        <w:rPr>
          <w:b/>
          <w:i/>
          <w:sz w:val="20"/>
          <w:szCs w:val="20"/>
        </w:rPr>
        <w:t>WSBC OH&amp;S Regulations (Part 3) – Section 3.12 – Procedure for refusal</w:t>
      </w:r>
    </w:p>
    <w:p w:rsidR="007E4817" w:rsidRPr="00900707" w:rsidRDefault="007E4817" w:rsidP="007E4817">
      <w:pPr>
        <w:spacing w:after="0"/>
        <w:rPr>
          <w:b/>
          <w:i/>
          <w:sz w:val="20"/>
          <w:szCs w:val="20"/>
        </w:rPr>
      </w:pPr>
      <w:r w:rsidRPr="00900707">
        <w:rPr>
          <w:b/>
          <w:i/>
          <w:sz w:val="20"/>
          <w:szCs w:val="20"/>
        </w:rPr>
        <w:t>WSBC OH&amp;S Regulations (Part 3) – Section 3.13 – No discriminatory action</w:t>
      </w:r>
    </w:p>
    <w:p w:rsidR="007E4817" w:rsidRPr="00900707" w:rsidRDefault="007E4817" w:rsidP="007E4817">
      <w:pPr>
        <w:spacing w:after="0"/>
        <w:rPr>
          <w:b/>
          <w:i/>
          <w:sz w:val="20"/>
          <w:szCs w:val="20"/>
        </w:rPr>
      </w:pPr>
      <w:r w:rsidRPr="00900707">
        <w:rPr>
          <w:b/>
          <w:i/>
          <w:sz w:val="20"/>
          <w:szCs w:val="20"/>
        </w:rPr>
        <w:t>Worker’s Compensation Act (Part 3) – Division 6, Sections 150 through 153</w:t>
      </w:r>
    </w:p>
    <w:p w:rsidR="002C3F8B" w:rsidRPr="00583DCB" w:rsidRDefault="002C3F8B" w:rsidP="00900707">
      <w:pPr>
        <w:spacing w:after="160" w:line="259" w:lineRule="auto"/>
      </w:pPr>
      <w:bookmarkStart w:id="1" w:name="SectionNumber:3.12"/>
      <w:bookmarkStart w:id="2" w:name="SectionTitle:Procedure_refusal"/>
      <w:bookmarkStart w:id="3" w:name="EndSectionNumber:3.12"/>
      <w:bookmarkStart w:id="4" w:name="EndSectionTitle:Procedure_refusal"/>
      <w:bookmarkStart w:id="5" w:name="SectionNumber:3.13"/>
      <w:bookmarkStart w:id="6" w:name="SectionTitle:No_discriminatory_action"/>
      <w:bookmarkStart w:id="7" w:name="EndSectionNumber:Part3Div6Sec150"/>
      <w:bookmarkStart w:id="8" w:name="SectionNumber:Part3Div6Sec151"/>
      <w:bookmarkStart w:id="9" w:name="EndSectionNumber:Part3Div6Sec151"/>
      <w:bookmarkStart w:id="10" w:name="SectionNumber:Part3Div6Sec152"/>
      <w:bookmarkStart w:id="11" w:name="EndSectionNumber:Part3Div6Sec152"/>
      <w:bookmarkStart w:id="12" w:name="SectionNumber:Part3Div6Sec153"/>
      <w:bookmarkEnd w:id="1"/>
      <w:bookmarkEnd w:id="2"/>
      <w:bookmarkEnd w:id="3"/>
      <w:bookmarkEnd w:id="4"/>
      <w:bookmarkEnd w:id="5"/>
      <w:bookmarkEnd w:id="6"/>
      <w:bookmarkEnd w:id="7"/>
      <w:bookmarkEnd w:id="8"/>
      <w:bookmarkEnd w:id="9"/>
      <w:bookmarkEnd w:id="10"/>
      <w:bookmarkEnd w:id="11"/>
      <w:bookmarkEnd w:id="12"/>
    </w:p>
    <w:sectPr w:rsidR="002C3F8B" w:rsidRPr="00583DC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56" w:rsidRDefault="00F03756" w:rsidP="00583DCB">
      <w:pPr>
        <w:spacing w:after="0" w:line="240" w:lineRule="auto"/>
      </w:pPr>
      <w:r>
        <w:separator/>
      </w:r>
    </w:p>
  </w:endnote>
  <w:endnote w:type="continuationSeparator" w:id="0">
    <w:p w:rsidR="00F03756" w:rsidRDefault="00F03756" w:rsidP="0058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514546"/>
      <w:docPartObj>
        <w:docPartGallery w:val="Page Numbers (Bottom of Page)"/>
        <w:docPartUnique/>
      </w:docPartObj>
    </w:sdtPr>
    <w:sdtEndPr/>
    <w:sdtContent>
      <w:sdt>
        <w:sdtPr>
          <w:id w:val="-1769616900"/>
          <w:docPartObj>
            <w:docPartGallery w:val="Page Numbers (Top of Page)"/>
            <w:docPartUnique/>
          </w:docPartObj>
        </w:sdtPr>
        <w:sdtEndPr/>
        <w:sdtContent>
          <w:p w:rsidR="00F1004F" w:rsidRDefault="00F100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07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0707">
              <w:rPr>
                <w:b/>
                <w:bCs/>
                <w:noProof/>
              </w:rPr>
              <w:t>1</w:t>
            </w:r>
            <w:r>
              <w:rPr>
                <w:b/>
                <w:bCs/>
                <w:sz w:val="24"/>
                <w:szCs w:val="24"/>
              </w:rPr>
              <w:fldChar w:fldCharType="end"/>
            </w:r>
          </w:p>
        </w:sdtContent>
      </w:sdt>
    </w:sdtContent>
  </w:sdt>
  <w:p w:rsidR="00F1004F" w:rsidRDefault="00F1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56" w:rsidRDefault="00F03756" w:rsidP="00583DCB">
      <w:pPr>
        <w:spacing w:after="0" w:line="240" w:lineRule="auto"/>
      </w:pPr>
      <w:r>
        <w:separator/>
      </w:r>
    </w:p>
  </w:footnote>
  <w:footnote w:type="continuationSeparator" w:id="0">
    <w:p w:rsidR="00F03756" w:rsidRDefault="00F03756" w:rsidP="0058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DCB" w:rsidRPr="00A738AF" w:rsidRDefault="00583DCB" w:rsidP="00583DCB">
    <w:pPr>
      <w:pStyle w:val="Header"/>
      <w:tabs>
        <w:tab w:val="clear" w:pos="9360"/>
      </w:tabs>
      <w:ind w:left="-1350" w:right="-720"/>
      <w:jc w:val="right"/>
      <w:rPr>
        <w:b/>
        <w:color w:val="000000" w:themeColor="text1"/>
        <w:sz w:val="28"/>
        <w:szCs w:val="28"/>
      </w:rPr>
    </w:pPr>
    <w:r w:rsidRPr="00C56ECD">
      <w:rPr>
        <w:b/>
        <w:noProof/>
        <w:color w:val="000000" w:themeColor="text1"/>
        <w:sz w:val="28"/>
        <w:szCs w:val="28"/>
        <w:lang w:val="en-US"/>
      </w:rPr>
      <w:drawing>
        <wp:anchor distT="0" distB="0" distL="114300" distR="114300" simplePos="0" relativeHeight="251656704" behindDoc="1" locked="0" layoutInCell="1" allowOverlap="1" wp14:anchorId="27570B05" wp14:editId="514E9189">
          <wp:simplePos x="0" y="0"/>
          <wp:positionH relativeFrom="column">
            <wp:posOffset>-771525</wp:posOffset>
          </wp:positionH>
          <wp:positionV relativeFrom="paragraph">
            <wp:posOffset>-228600</wp:posOffset>
          </wp:positionV>
          <wp:extent cx="3446289" cy="1314450"/>
          <wp:effectExtent l="0" t="0" r="1905"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L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6289" cy="1314450"/>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28"/>
        <w:szCs w:val="28"/>
      </w:rPr>
      <w:t xml:space="preserve"> </w:t>
    </w:r>
    <w:r w:rsidR="00D34F3A">
      <w:rPr>
        <w:b/>
        <w:color w:val="000000" w:themeColor="text1"/>
        <w:sz w:val="28"/>
        <w:szCs w:val="28"/>
      </w:rPr>
      <w:t>Health &amp; Safety</w:t>
    </w:r>
  </w:p>
  <w:p w:rsidR="00583DCB" w:rsidRPr="000D6D89" w:rsidRDefault="00D34F3A" w:rsidP="00583DCB">
    <w:pPr>
      <w:pStyle w:val="Header"/>
      <w:tabs>
        <w:tab w:val="clear" w:pos="9360"/>
      </w:tabs>
      <w:ind w:left="-1350" w:right="-720"/>
      <w:jc w:val="right"/>
      <w:rPr>
        <w:b/>
        <w:color w:val="153F8B"/>
        <w:w w:val="90"/>
        <w:sz w:val="28"/>
        <w:szCs w:val="28"/>
      </w:rPr>
    </w:pPr>
    <w:r>
      <w:rPr>
        <w:b/>
        <w:color w:val="153F8B"/>
        <w:w w:val="90"/>
        <w:sz w:val="28"/>
        <w:szCs w:val="28"/>
      </w:rPr>
      <w:t>Unsafe Work Policy</w:t>
    </w:r>
  </w:p>
  <w:p w:rsidR="00583DCB" w:rsidRPr="00900707" w:rsidRDefault="00583DCB" w:rsidP="00583DCB">
    <w:pPr>
      <w:pStyle w:val="Header"/>
      <w:tabs>
        <w:tab w:val="clear" w:pos="9360"/>
      </w:tabs>
      <w:ind w:left="-1350" w:right="-720"/>
      <w:jc w:val="right"/>
      <w:rPr>
        <w:b/>
        <w:color w:val="000000" w:themeColor="text1"/>
        <w:sz w:val="20"/>
        <w:szCs w:val="20"/>
      </w:rPr>
    </w:pPr>
    <w:r w:rsidRPr="00900707">
      <w:rPr>
        <w:b/>
        <w:color w:val="000000" w:themeColor="text1"/>
        <w:sz w:val="20"/>
        <w:szCs w:val="20"/>
      </w:rPr>
      <w:t xml:space="preserve">Implemented: </w:t>
    </w:r>
    <w:r w:rsidR="00900707" w:rsidRPr="00900707">
      <w:rPr>
        <w:b/>
        <w:color w:val="000000" w:themeColor="text1"/>
        <w:sz w:val="20"/>
        <w:szCs w:val="20"/>
      </w:rPr>
      <w:t>April 20, 2020</w:t>
    </w:r>
  </w:p>
  <w:p w:rsidR="00583DCB" w:rsidRPr="00900707" w:rsidRDefault="00583DCB" w:rsidP="00583DCB">
    <w:pPr>
      <w:pStyle w:val="Header"/>
      <w:tabs>
        <w:tab w:val="clear" w:pos="9360"/>
        <w:tab w:val="right" w:pos="10080"/>
      </w:tabs>
      <w:ind w:left="-720" w:right="-720"/>
      <w:jc w:val="right"/>
      <w:rPr>
        <w:b/>
        <w:sz w:val="20"/>
        <w:szCs w:val="20"/>
      </w:rPr>
    </w:pPr>
    <w:r w:rsidRPr="00900707">
      <w:rPr>
        <w:b/>
        <w:sz w:val="20"/>
        <w:szCs w:val="20"/>
      </w:rPr>
      <w:t xml:space="preserve">Amended: </w:t>
    </w:r>
    <w:r w:rsidR="00900707" w:rsidRPr="00900707">
      <w:rPr>
        <w:b/>
        <w:color w:val="000000" w:themeColor="text1"/>
        <w:sz w:val="20"/>
        <w:szCs w:val="20"/>
      </w:rPr>
      <w:t>April 20, 2020</w:t>
    </w:r>
  </w:p>
  <w:p w:rsidR="00583DCB" w:rsidRPr="00E23559" w:rsidRDefault="00583DCB" w:rsidP="00583DCB">
    <w:pPr>
      <w:pStyle w:val="Header"/>
      <w:tabs>
        <w:tab w:val="clear" w:pos="9360"/>
        <w:tab w:val="right" w:pos="10080"/>
      </w:tabs>
      <w:ind w:left="-720" w:right="-720"/>
      <w:jc w:val="right"/>
      <w:rPr>
        <w:b/>
        <w:sz w:val="20"/>
        <w:szCs w:val="20"/>
      </w:rPr>
    </w:pPr>
    <w:r w:rsidRPr="00900707">
      <w:rPr>
        <w:b/>
        <w:sz w:val="20"/>
        <w:szCs w:val="20"/>
      </w:rPr>
      <w:t xml:space="preserve">Approved: </w:t>
    </w:r>
    <w:r w:rsidR="00900707" w:rsidRPr="00900707">
      <w:rPr>
        <w:b/>
        <w:color w:val="000000" w:themeColor="text1"/>
        <w:sz w:val="20"/>
        <w:szCs w:val="20"/>
      </w:rPr>
      <w:t>April 20, 2020</w:t>
    </w:r>
  </w:p>
  <w:p w:rsidR="00583DCB" w:rsidRPr="00C56ECD" w:rsidRDefault="00583DCB" w:rsidP="00583DCB">
    <w:pPr>
      <w:pStyle w:val="Header"/>
    </w:pPr>
    <w:r w:rsidRPr="00C56ECD">
      <w:rPr>
        <w:b/>
        <w:noProof/>
        <w:color w:val="000000" w:themeColor="text1"/>
        <w:sz w:val="28"/>
        <w:szCs w:val="28"/>
        <w:lang w:val="en-US"/>
      </w:rPr>
      <mc:AlternateContent>
        <mc:Choice Requires="wps">
          <w:drawing>
            <wp:anchor distT="0" distB="0" distL="114300" distR="114300" simplePos="0" relativeHeight="251657728" behindDoc="0" locked="0" layoutInCell="1" allowOverlap="1" wp14:anchorId="4E3222FD" wp14:editId="7475252A">
              <wp:simplePos x="0" y="0"/>
              <wp:positionH relativeFrom="column">
                <wp:posOffset>495300</wp:posOffset>
              </wp:positionH>
              <wp:positionV relativeFrom="paragraph">
                <wp:posOffset>17145</wp:posOffset>
              </wp:positionV>
              <wp:extent cx="5962650" cy="9525"/>
              <wp:effectExtent l="0" t="0" r="19050" b="28575"/>
              <wp:wrapNone/>
              <wp:docPr id="239" name="Straight Connector 239"/>
              <wp:cNvGraphicFramePr/>
              <a:graphic xmlns:a="http://schemas.openxmlformats.org/drawingml/2006/main">
                <a:graphicData uri="http://schemas.microsoft.com/office/word/2010/wordprocessingShape">
                  <wps:wsp>
                    <wps:cNvCnPr/>
                    <wps:spPr>
                      <a:xfrm>
                        <a:off x="0" y="0"/>
                        <a:ext cx="5962650" cy="9525"/>
                      </a:xfrm>
                      <a:prstGeom prst="line">
                        <a:avLst/>
                      </a:prstGeom>
                      <a:ln>
                        <a:solidFill>
                          <a:srgbClr val="153F8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7C07E" id="Straight Connector 23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1.35pt" to="5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" strokecolor="#153f8b" strokeweight=".5pt">
              <v:stroke joinstyle="miter"/>
            </v:line>
          </w:pict>
        </mc:Fallback>
      </mc:AlternateContent>
    </w:r>
  </w:p>
  <w:p w:rsidR="00583DCB" w:rsidRDefault="00583D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8669D"/>
    <w:multiLevelType w:val="multilevel"/>
    <w:tmpl w:val="A250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4/i6KGNlgd2dsQOq9xDPXe8rb9EAWjurV9wsxtzR5ZWB5yuMsmrwpug1T/HbTUEwOTUm0IDxi4Yv49uam4q6sg==" w:salt="6tCrcK9g8fmtsLq66kEhI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BFC"/>
    <w:rsid w:val="000F4A82"/>
    <w:rsid w:val="00272DF4"/>
    <w:rsid w:val="002C3F8B"/>
    <w:rsid w:val="003B2928"/>
    <w:rsid w:val="004F501F"/>
    <w:rsid w:val="00583DCB"/>
    <w:rsid w:val="00661FA1"/>
    <w:rsid w:val="007E4817"/>
    <w:rsid w:val="00801BFC"/>
    <w:rsid w:val="00864A51"/>
    <w:rsid w:val="00900707"/>
    <w:rsid w:val="00A13C1B"/>
    <w:rsid w:val="00A7117F"/>
    <w:rsid w:val="00CC7B54"/>
    <w:rsid w:val="00D34F3A"/>
    <w:rsid w:val="00DA646C"/>
    <w:rsid w:val="00F03756"/>
    <w:rsid w:val="00F1004F"/>
    <w:rsid w:val="00F251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C12D9D6-74F1-4549-82B9-98A1CB99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CB"/>
    <w:pPr>
      <w:spacing w:after="200" w:line="276" w:lineRule="auto"/>
    </w:pPr>
    <w:rPr>
      <w:rFonts w:ascii="Candara" w:hAnsi="Candara"/>
    </w:rPr>
  </w:style>
  <w:style w:type="paragraph" w:styleId="Heading1">
    <w:name w:val="heading 1"/>
    <w:basedOn w:val="Normal"/>
    <w:next w:val="Normal"/>
    <w:link w:val="Heading1Char"/>
    <w:uiPriority w:val="9"/>
    <w:qFormat/>
    <w:rsid w:val="000F4A82"/>
    <w:pPr>
      <w:keepNext/>
      <w:keepLines/>
      <w:spacing w:after="240" w:line="259" w:lineRule="auto"/>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0F4A82"/>
    <w:pPr>
      <w:keepNext/>
      <w:keepLines/>
      <w:spacing w:before="120" w:after="120" w:line="240" w:lineRule="auto"/>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0F4A82"/>
    <w:pPr>
      <w:keepNext/>
      <w:keepLines/>
      <w:spacing w:before="120" w:after="120" w:line="240" w:lineRule="auto"/>
      <w:outlineLvl w:val="2"/>
    </w:pPr>
    <w:rPr>
      <w:rFonts w:eastAsiaTheme="majorEastAsia" w:cstheme="majorBidi"/>
      <w:b/>
      <w:sz w:val="24"/>
      <w:szCs w:val="24"/>
      <w:u w:val="single"/>
    </w:rPr>
  </w:style>
  <w:style w:type="paragraph" w:styleId="Heading4">
    <w:name w:val="heading 4"/>
    <w:aliases w:val="Heading 4 - Policy Title"/>
    <w:basedOn w:val="Normal"/>
    <w:next w:val="Normal"/>
    <w:link w:val="Heading4Char"/>
    <w:unhideWhenUsed/>
    <w:qFormat/>
    <w:rsid w:val="000F4A82"/>
    <w:pPr>
      <w:keepNext/>
      <w:keepLines/>
      <w:spacing w:before="120" w:after="120" w:line="240" w:lineRule="auto"/>
      <w:outlineLvl w:val="3"/>
    </w:pPr>
    <w:rPr>
      <w:rFonts w:eastAsiaTheme="majorEastAsia" w:cstheme="majorBidi"/>
      <w:b/>
      <w:i/>
      <w:iCs/>
    </w:rPr>
  </w:style>
  <w:style w:type="paragraph" w:styleId="Heading6">
    <w:name w:val="heading 6"/>
    <w:basedOn w:val="Normal"/>
    <w:next w:val="Normal"/>
    <w:link w:val="Heading6Char"/>
    <w:uiPriority w:val="9"/>
    <w:semiHidden/>
    <w:unhideWhenUsed/>
    <w:qFormat/>
    <w:rsid w:val="00CC7B5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A82"/>
    <w:rPr>
      <w:rFonts w:ascii="Candara" w:eastAsiaTheme="majorEastAsia" w:hAnsi="Candara" w:cstheme="majorBidi"/>
      <w:b/>
      <w:color w:val="2E74B5" w:themeColor="accent1" w:themeShade="BF"/>
      <w:sz w:val="36"/>
      <w:szCs w:val="32"/>
    </w:rPr>
  </w:style>
  <w:style w:type="paragraph" w:styleId="NoSpacing">
    <w:name w:val="No Spacing"/>
    <w:uiPriority w:val="1"/>
    <w:qFormat/>
    <w:rsid w:val="000F4A82"/>
    <w:pPr>
      <w:spacing w:after="0" w:line="240" w:lineRule="auto"/>
    </w:pPr>
    <w:rPr>
      <w:rFonts w:ascii="Candara" w:hAnsi="Candara"/>
    </w:rPr>
  </w:style>
  <w:style w:type="character" w:customStyle="1" w:styleId="Heading2Char">
    <w:name w:val="Heading 2 Char"/>
    <w:basedOn w:val="DefaultParagraphFont"/>
    <w:link w:val="Heading2"/>
    <w:uiPriority w:val="9"/>
    <w:rsid w:val="000F4A82"/>
    <w:rPr>
      <w:rFonts w:ascii="Candara" w:eastAsiaTheme="majorEastAsia" w:hAnsi="Candara" w:cstheme="majorBidi"/>
      <w:b/>
      <w:color w:val="2E74B5" w:themeColor="accent1" w:themeShade="BF"/>
      <w:sz w:val="28"/>
      <w:szCs w:val="26"/>
    </w:rPr>
  </w:style>
  <w:style w:type="character" w:customStyle="1" w:styleId="Heading3Char">
    <w:name w:val="Heading 3 Char"/>
    <w:basedOn w:val="DefaultParagraphFont"/>
    <w:link w:val="Heading3"/>
    <w:uiPriority w:val="9"/>
    <w:rsid w:val="000F4A82"/>
    <w:rPr>
      <w:rFonts w:ascii="Candara" w:eastAsiaTheme="majorEastAsia" w:hAnsi="Candara" w:cstheme="majorBidi"/>
      <w:b/>
      <w:sz w:val="24"/>
      <w:szCs w:val="24"/>
      <w:u w:val="single"/>
    </w:rPr>
  </w:style>
  <w:style w:type="character" w:customStyle="1" w:styleId="Heading4Char">
    <w:name w:val="Heading 4 Char"/>
    <w:aliases w:val="Heading 4 - Policy Title Char"/>
    <w:basedOn w:val="DefaultParagraphFont"/>
    <w:link w:val="Heading4"/>
    <w:rsid w:val="000F4A82"/>
    <w:rPr>
      <w:rFonts w:ascii="Candara" w:eastAsiaTheme="majorEastAsia" w:hAnsi="Candara" w:cstheme="majorBidi"/>
      <w:b/>
      <w:i/>
      <w:iCs/>
    </w:rPr>
  </w:style>
  <w:style w:type="paragraph" w:styleId="Header">
    <w:name w:val="header"/>
    <w:basedOn w:val="Normal"/>
    <w:link w:val="HeaderChar"/>
    <w:uiPriority w:val="99"/>
    <w:unhideWhenUsed/>
    <w:rsid w:val="0058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CB"/>
    <w:rPr>
      <w:rFonts w:ascii="Candara" w:hAnsi="Candara"/>
    </w:rPr>
  </w:style>
  <w:style w:type="paragraph" w:styleId="Footer">
    <w:name w:val="footer"/>
    <w:basedOn w:val="Normal"/>
    <w:link w:val="FooterChar"/>
    <w:uiPriority w:val="99"/>
    <w:unhideWhenUsed/>
    <w:rsid w:val="0058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CB"/>
    <w:rPr>
      <w:rFonts w:ascii="Candara" w:hAnsi="Candara"/>
    </w:rPr>
  </w:style>
  <w:style w:type="character" w:customStyle="1" w:styleId="Heading6Char">
    <w:name w:val="Heading 6 Char"/>
    <w:basedOn w:val="DefaultParagraphFont"/>
    <w:link w:val="Heading6"/>
    <w:uiPriority w:val="9"/>
    <w:semiHidden/>
    <w:rsid w:val="00CC7B54"/>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semiHidden/>
    <w:unhideWhenUsed/>
    <w:rsid w:val="00CC7B54"/>
    <w:rPr>
      <w:color w:val="0000FF"/>
      <w:u w:val="single"/>
    </w:rPr>
  </w:style>
  <w:style w:type="character" w:customStyle="1" w:styleId="handbooktitle">
    <w:name w:val="handbook_title"/>
    <w:basedOn w:val="DefaultParagraphFont"/>
    <w:rsid w:val="00CC7B54"/>
  </w:style>
  <w:style w:type="paragraph" w:customStyle="1" w:styleId="subl1">
    <w:name w:val="subl1"/>
    <w:basedOn w:val="Normal"/>
    <w:rsid w:val="00CC7B5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ubl2">
    <w:name w:val="subl2"/>
    <w:basedOn w:val="Normal"/>
    <w:rsid w:val="00CC7B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CC7B54"/>
    <w:rPr>
      <w:i/>
      <w:iCs/>
    </w:rPr>
  </w:style>
  <w:style w:type="paragraph" w:styleId="NormalWeb">
    <w:name w:val="Normal (Web)"/>
    <w:basedOn w:val="Normal"/>
    <w:uiPriority w:val="99"/>
    <w:semiHidden/>
    <w:unhideWhenUsed/>
    <w:rsid w:val="00CC7B5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C7B54"/>
    <w:rPr>
      <w:b/>
      <w:bCs/>
    </w:rPr>
  </w:style>
  <w:style w:type="paragraph" w:customStyle="1" w:styleId="subl3">
    <w:name w:val="subl3"/>
    <w:basedOn w:val="Normal"/>
    <w:rsid w:val="00CC7B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96822">
      <w:bodyDiv w:val="1"/>
      <w:marLeft w:val="0"/>
      <w:marRight w:val="0"/>
      <w:marTop w:val="0"/>
      <w:marBottom w:val="0"/>
      <w:divBdr>
        <w:top w:val="none" w:sz="0" w:space="0" w:color="auto"/>
        <w:left w:val="none" w:sz="0" w:space="0" w:color="auto"/>
        <w:bottom w:val="none" w:sz="0" w:space="0" w:color="auto"/>
        <w:right w:val="none" w:sz="0" w:space="0" w:color="auto"/>
      </w:divBdr>
    </w:div>
    <w:div w:id="16286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1\Top\Starred\Policy%20Manager\Policy.Proceed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Policy.Proceedure.Template</Template>
  <TotalTime>4</TotalTime>
  <Pages>1</Pages>
  <Words>291</Words>
  <Characters>1665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Clark</dc:creator>
  <cp:keywords/>
  <dc:description/>
  <cp:lastModifiedBy>Melanie Clark</cp:lastModifiedBy>
  <cp:revision>3</cp:revision>
  <dcterms:created xsi:type="dcterms:W3CDTF">2020-04-20T17:19:00Z</dcterms:created>
  <dcterms:modified xsi:type="dcterms:W3CDTF">2020-04-20T17:23:00Z</dcterms:modified>
</cp:coreProperties>
</file>